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1824" w:rsidP="003318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31824" w:rsidP="0033182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31824" w:rsidP="00331824">
      <w:pPr>
        <w:jc w:val="center"/>
        <w:rPr>
          <w:sz w:val="26"/>
          <w:szCs w:val="26"/>
        </w:rPr>
      </w:pP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 </w:t>
      </w:r>
      <w:r w:rsidR="001C7EB1">
        <w:rPr>
          <w:sz w:val="26"/>
          <w:szCs w:val="26"/>
        </w:rPr>
        <w:t>17</w:t>
      </w:r>
      <w:r>
        <w:rPr>
          <w:sz w:val="26"/>
          <w:szCs w:val="26"/>
        </w:rPr>
        <w:t xml:space="preserve"> мая 2024 года </w:t>
      </w:r>
    </w:p>
    <w:p w:rsidR="00331824" w:rsidP="00331824">
      <w:pPr>
        <w:jc w:val="both"/>
        <w:rPr>
          <w:sz w:val="26"/>
          <w:szCs w:val="26"/>
        </w:rPr>
      </w:pPr>
    </w:p>
    <w:p w:rsidR="00331824" w:rsidP="003318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1C7EB1">
        <w:rPr>
          <w:sz w:val="26"/>
          <w:szCs w:val="26"/>
        </w:rPr>
        <w:t>620</w:t>
      </w:r>
      <w:r>
        <w:rPr>
          <w:sz w:val="26"/>
          <w:szCs w:val="26"/>
        </w:rPr>
        <w:t xml:space="preserve">-2802/2024, возбужденное по ч.2 </w:t>
      </w:r>
      <w:r>
        <w:rPr>
          <w:color w:val="000000" w:themeColor="text1"/>
          <w:sz w:val="26"/>
          <w:szCs w:val="26"/>
        </w:rPr>
        <w:t>ст.15.33</w:t>
      </w:r>
      <w:r>
        <w:rPr>
          <w:sz w:val="26"/>
          <w:szCs w:val="26"/>
        </w:rPr>
        <w:t xml:space="preserve"> КоАП РФ в отношении должностного лица – </w:t>
      </w:r>
      <w:r w:rsidR="00F94C78">
        <w:rPr>
          <w:b/>
          <w:sz w:val="26"/>
          <w:szCs w:val="26"/>
        </w:rPr>
        <w:t xml:space="preserve">*** </w:t>
      </w:r>
      <w:r w:rsidR="001C7EB1">
        <w:rPr>
          <w:sz w:val="26"/>
          <w:szCs w:val="26"/>
        </w:rPr>
        <w:t xml:space="preserve">Микаеляна </w:t>
      </w:r>
      <w:r w:rsidR="00F94C78">
        <w:rPr>
          <w:b/>
          <w:sz w:val="26"/>
          <w:szCs w:val="26"/>
        </w:rPr>
        <w:t>***</w:t>
      </w:r>
    </w:p>
    <w:p w:rsidR="00331824" w:rsidP="003318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31824" w:rsidP="00331824">
      <w:pPr>
        <w:jc w:val="center"/>
        <w:rPr>
          <w:sz w:val="26"/>
          <w:szCs w:val="26"/>
        </w:rPr>
      </w:pPr>
    </w:p>
    <w:p w:rsidR="00331824" w:rsidP="00331824">
      <w:pPr>
        <w:pStyle w:val="BodyText"/>
        <w:ind w:firstLine="708"/>
        <w:rPr>
          <w:szCs w:val="26"/>
        </w:rPr>
      </w:pPr>
      <w:r>
        <w:rPr>
          <w:szCs w:val="26"/>
        </w:rPr>
        <w:t>Микаелян А.Ю.</w:t>
      </w:r>
      <w:r>
        <w:rPr>
          <w:szCs w:val="26"/>
        </w:rPr>
        <w:t xml:space="preserve">, являясь </w:t>
      </w:r>
      <w:r w:rsidR="00F94C78">
        <w:rPr>
          <w:b/>
          <w:szCs w:val="26"/>
        </w:rPr>
        <w:t>***</w:t>
      </w:r>
      <w:r>
        <w:rPr>
          <w:szCs w:val="26"/>
        </w:rPr>
        <w:t xml:space="preserve">» и исполняя свои обязанности по адресу: </w:t>
      </w:r>
      <w:r w:rsidR="00F94C78">
        <w:rPr>
          <w:b/>
          <w:szCs w:val="26"/>
        </w:rPr>
        <w:t xml:space="preserve">*** </w:t>
      </w:r>
      <w:r>
        <w:rPr>
          <w:szCs w:val="26"/>
        </w:rPr>
        <w:t>не с</w:t>
      </w:r>
      <w:r>
        <w:rPr>
          <w:szCs w:val="26"/>
        </w:rPr>
        <w:t>воевременно предоставил</w:t>
      </w:r>
      <w:r>
        <w:rPr>
          <w:szCs w:val="26"/>
        </w:rPr>
        <w:t xml:space="preserve"> сведения о застрахованных лицах по форме ЕФС-1, раздел 1, подраздел 1.2 за 2023 год в О</w:t>
      </w:r>
      <w:r>
        <w:rPr>
          <w:szCs w:val="26"/>
        </w:rPr>
        <w:t>СФР по ХМАО - Югре, чем нарушил</w:t>
      </w:r>
      <w:r>
        <w:rPr>
          <w:szCs w:val="26"/>
        </w:rPr>
        <w:t xml:space="preserve"> п.1 ст.24 Федерального закона от 24.07.1998 г. № 125-ФЗ и совершив своими действиями в 00 часов 01 минуту </w:t>
      </w:r>
      <w:r>
        <w:rPr>
          <w:szCs w:val="26"/>
        </w:rPr>
        <w:t>26.01.2024  правонарушение</w:t>
      </w:r>
      <w:r>
        <w:rPr>
          <w:szCs w:val="26"/>
        </w:rPr>
        <w:t xml:space="preserve">, предусмотренное ч.2 ст.15.33 КоАП РФ.  </w:t>
      </w:r>
    </w:p>
    <w:p w:rsidR="00331824" w:rsidP="0033182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 w:rsidR="001C7EB1">
        <w:rPr>
          <w:sz w:val="26"/>
          <w:szCs w:val="26"/>
        </w:rPr>
        <w:t>Микаелян А.Ю.</w:t>
      </w:r>
      <w:r>
        <w:rPr>
          <w:sz w:val="26"/>
          <w:szCs w:val="26"/>
        </w:rPr>
        <w:t xml:space="preserve">  </w:t>
      </w:r>
      <w:r w:rsidR="001C7EB1">
        <w:rPr>
          <w:color w:val="000000" w:themeColor="text1"/>
          <w:sz w:val="26"/>
          <w:szCs w:val="26"/>
        </w:rPr>
        <w:t>не явился</w:t>
      </w:r>
      <w:r>
        <w:rPr>
          <w:color w:val="000000" w:themeColor="text1"/>
          <w:sz w:val="26"/>
          <w:szCs w:val="26"/>
        </w:rPr>
        <w:t xml:space="preserve">, о месте </w:t>
      </w:r>
      <w:r w:rsidR="001C7EB1">
        <w:rPr>
          <w:color w:val="000000" w:themeColor="text1"/>
          <w:sz w:val="26"/>
          <w:szCs w:val="26"/>
        </w:rPr>
        <w:t>и времени рассмотрения дела был надлежаще уведомлен</w:t>
      </w:r>
      <w:r>
        <w:rPr>
          <w:color w:val="000000" w:themeColor="text1"/>
          <w:sz w:val="26"/>
          <w:szCs w:val="26"/>
        </w:rPr>
        <w:t>, ходатайство об отложении рассмотрении дела поступило. Уважительная причина неявки судом не установлена.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331824" w:rsidRPr="001C7EB1" w:rsidP="00331824">
      <w:pPr>
        <w:pStyle w:val="BodyText"/>
        <w:ind w:firstLine="567"/>
        <w:rPr>
          <w:bCs/>
          <w:szCs w:val="26"/>
        </w:rPr>
      </w:pPr>
      <w:r w:rsidRPr="001C7EB1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 w:rsidR="001C7EB1">
        <w:rPr>
          <w:bCs/>
          <w:sz w:val="26"/>
          <w:szCs w:val="26"/>
        </w:rPr>
        <w:t>Микаелян А.Ю.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</w:t>
      </w:r>
      <w:r w:rsidR="001C7EB1">
        <w:rPr>
          <w:bCs/>
          <w:sz w:val="26"/>
          <w:szCs w:val="26"/>
        </w:rPr>
        <w:t>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1, подраздел 1.2 за 2023 год.  Данный отчет был представлен страхователем по телекоммуникационным каналам связи </w:t>
      </w:r>
      <w:r w:rsidR="001C7EB1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>.03.2024.</w:t>
      </w:r>
      <w:r>
        <w:rPr>
          <w:sz w:val="26"/>
          <w:szCs w:val="26"/>
        </w:rPr>
        <w:t xml:space="preserve"> </w:t>
      </w:r>
    </w:p>
    <w:p w:rsidR="00331824" w:rsidP="00331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31824" w:rsidP="00331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 w:rsidR="001C7EB1">
        <w:rPr>
          <w:sz w:val="26"/>
          <w:szCs w:val="26"/>
        </w:rPr>
        <w:t>Микаеляна А.Ю.</w:t>
      </w:r>
      <w:r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1C7EB1">
        <w:rPr>
          <w:sz w:val="26"/>
          <w:szCs w:val="26"/>
        </w:rPr>
        <w:t>Микаеляна А.Ю.</w:t>
      </w:r>
      <w:r>
        <w:rPr>
          <w:sz w:val="26"/>
          <w:szCs w:val="26"/>
        </w:rPr>
        <w:t xml:space="preserve"> и </w:t>
      </w:r>
      <w:r w:rsidR="001C7EB1">
        <w:rPr>
          <w:sz w:val="26"/>
          <w:szCs w:val="26"/>
        </w:rPr>
        <w:t>его</w:t>
      </w:r>
      <w:r>
        <w:rPr>
          <w:sz w:val="26"/>
          <w:szCs w:val="26"/>
        </w:rPr>
        <w:t xml:space="preserve">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ч.2 ст.15.33 КоАП РФ.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331824" w:rsidP="00331824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331824" w:rsidP="00331824">
      <w:pPr>
        <w:rPr>
          <w:b/>
          <w:snapToGrid w:val="0"/>
          <w:color w:val="000000"/>
          <w:sz w:val="26"/>
          <w:szCs w:val="26"/>
        </w:rPr>
      </w:pPr>
    </w:p>
    <w:p w:rsidR="00331824" w:rsidP="00331824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31824" w:rsidP="00331824">
      <w:pPr>
        <w:jc w:val="center"/>
        <w:rPr>
          <w:snapToGrid w:val="0"/>
          <w:color w:val="000000"/>
          <w:sz w:val="26"/>
          <w:szCs w:val="26"/>
        </w:rPr>
      </w:pPr>
    </w:p>
    <w:p w:rsidR="00331824" w:rsidP="00331824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F94C78">
        <w:rPr>
          <w:b/>
          <w:szCs w:val="26"/>
        </w:rPr>
        <w:t xml:space="preserve">*** </w:t>
      </w:r>
      <w:r w:rsidR="001C7EB1">
        <w:rPr>
          <w:szCs w:val="26"/>
        </w:rPr>
        <w:t xml:space="preserve">Микаеляна </w:t>
      </w:r>
      <w:r w:rsidR="00F94C78">
        <w:rPr>
          <w:b/>
          <w:szCs w:val="26"/>
        </w:rPr>
        <w:t xml:space="preserve">*** </w:t>
      </w:r>
      <w:r w:rsidR="001C7EB1">
        <w:rPr>
          <w:szCs w:val="26"/>
        </w:rPr>
        <w:t>виновным</w:t>
      </w:r>
      <w:r>
        <w:rPr>
          <w:szCs w:val="26"/>
        </w:rPr>
        <w:t xml:space="preserve">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331824" w:rsidP="0033182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331824" w:rsidP="00331824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</w:t>
      </w:r>
      <w:r>
        <w:rPr>
          <w:color w:val="auto"/>
          <w:szCs w:val="26"/>
        </w:rPr>
        <w:t xml:space="preserve">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331824" w:rsidP="00331824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79711601230060003140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C7EB1">
        <w:rPr>
          <w:bCs/>
          <w:color w:val="000000" w:themeColor="text1"/>
          <w:sz w:val="26"/>
          <w:szCs w:val="26"/>
        </w:rPr>
        <w:t>02700000000156441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331824" w:rsidP="00331824">
      <w:pPr>
        <w:rPr>
          <w:sz w:val="26"/>
          <w:szCs w:val="26"/>
        </w:rPr>
      </w:pPr>
    </w:p>
    <w:p w:rsidR="00331824" w:rsidP="00331824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31824" w:rsidP="00331824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331824" w:rsidP="00331824">
      <w:pPr>
        <w:jc w:val="right"/>
      </w:pPr>
    </w:p>
    <w:p w:rsidR="00331824" w:rsidP="00331824"/>
    <w:p w:rsidR="00331824" w:rsidP="00331824"/>
    <w:p w:rsidR="00331824" w:rsidP="00331824"/>
    <w:p w:rsidR="0002103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E"/>
    <w:rsid w:val="00021038"/>
    <w:rsid w:val="001C7EB1"/>
    <w:rsid w:val="00331824"/>
    <w:rsid w:val="00E0072E"/>
    <w:rsid w:val="00F94C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43199F-6DA5-4BF3-8010-5F30E5B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1824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331824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331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31824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3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33182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3182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31824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31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3182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